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415</w:t>
      </w:r>
    </w:p>
    <w:p>
      <w:r>
        <w:t>Bundesgericht (BGE), 2010-12-15, FR</w:t>
      </w:r>
    </w:p>
    <w:p>
      <w:r>
        <w:rPr>
          <w:b/>
        </w:rPr>
        <w:t xml:space="preserve">Quelle: </w:t>
      </w:r>
      <w:r>
        <w:t>https://mcp.opencaselaw.ch/entscheid/bge_136 V 415</w:t>
      </w:r>
    </w:p>
    <w:p>
      <w:r>
        <w:t>FR: ATF 136 V 415</w:t>
      </w:r>
    </w:p>
    <w:p>
      <w:r>
        <w:t>IT: DTF 136 V 415</w:t>
      </w:r>
    </w:p>
    <w:p>
      <w:pPr>
        <w:pStyle w:val="Heading2"/>
      </w:pPr>
      <w:r>
        <w:t>Regeste</w:t>
      </w:r>
    </w:p>
    <w:p>
      <w:r>
        <w:t>Regeste Art. 56 Abs. 1 und 2 KVG; notwendiger Datenzugang des kontrollierten Arztes im Rahmen eines Überarztungsprozesses. Zu den Anforderungen der statistischen Methode gehört, dass der Verband der Krankenversicherer die Namen der Ärzte, welche die Vergleichsgruppe bilden, sowie - in anonymisierter Form - deren individuelle Daten aus dem "santésuisse-Datenpool" offenlegt (Präzisierung der Rechtsprechung; E. 6.3).</w:t>
      </w:r>
    </w:p>
    <w:p>
      <w:pPr>
        <w:pStyle w:val="Heading2"/>
      </w:pPr>
      <w:r>
        <w:t>Erwägungen</w:t>
      </w:r>
    </w:p>
    <w:p>
      <w:r>
        <w:rPr>
          <w:b/>
        </w:rPr>
        <w:t>E. 6.1</w:t>
      </w:r>
    </w:p>
    <w:p>
      <w:r>
        <w:t>Le recourant reproche foncièrement au tribunal arbitral d'avoir violé les garanties procédurales octroyées par l' art. 29 al. 1 Cst. et l' art. 6 par. 1 CEDH . Il conteste d'une manière générale que la méthode statistique puisse servir à contrôler le caractère économique des traitements prodigués par les médecins. Il considère à cet égard que, dans un état de droit, une pièce établie par l'une des parties à la procédure en fonction de données auxquelles l'autre des parties n'a pas accès n'est pas un fondement suffisant pour prononcer une condamnation. Il estime en particulier que son droit d'être entendu a été violé dans la mesure où le tribunal arbitral a refusé d'ordonner à santésuisse de produire la liste nominative des médecins appartenant au groupe de comparaison dont il fait partie. Il soutient que ce procédé, qui consiste à empêcher d'accéder aux données sur lesquelles reposent les statistiques, le prive de tout contrôle et de toute possibilité de se disculper sans contrevenir au secret professionnel.</w:t>
      </w:r>
    </w:p>
    <w:p>
      <w:r>
        <w:rPr>
          <w:b/>
        </w:rPr>
        <w:t>E. 6.2</w:t>
      </w:r>
    </w:p>
    <w:p>
      <w:r>
        <w:t>Le Tribunal fédéral admet depuis longtemps le recours à la méthode statistique comme moyen de preuve permettant d'établir le caractère économique ou non des traitements prodigués par un BGE 136 V 415 S. 417 médecin donné (cf. chronologiquement les arrêts du Tribunal fédéral des assurances K 24/69 du 31 décembre 1969 consid. 4, in RJAM 1970 p. 82; K 56/78 du 25 avril 1980 consid. 3a, non publié in ATF 106 V 40 ; ATF 119 V 448 consid. 4c p. 454; K 148/04 du 2 décembre 2005 consid. 3.3.1) et n'entend pas modifier sa pratique. Outre le fait que la méthode mentionnée n'a jamais été valablement remise en cause (cf. p. ex. arrêts 9C_205/2008 du 19 décembre 2008; 9C_649/2007 du 23 mai 2008 et K 130/06 du 16 juillet 2007; arrêts du Tribunal fédéral des assurances K 46/04 du 25 janvier 2006; K 93/02 du 26 juin 2003 et K 108/01 du 15 juillet 2003) et qu'il ne s'agit pas d'une preuve irréfragable, contrairement à ce que veut faire accroire le recourant,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arrêts du Tribunal fédéral des assurances K 150/03 du 18 mai 2004 consid. 6.3, non publié in ATF 130 V 377 ; K 9/99 du 29 juin 2001 consid. 6c; voir également CHRISTIAN SCHÜRER, Honorarrückforderung wegen Überarztung bei ambulanter ärztlicher Behandlung - Materiellrechtliche Aspekte, in Wirtschaftlichkeitskontrolle in der Krankenversicherung, Schaffhauser/Kieser [éd.], 2001, p. 88; GEBHARD EUGSTER, Wirtschaftlichkeitskontrolle ambulanter ärztlicher Leistungen mit statistischen Methoden, 2003, p. 233 n. 674 ss), on rappellera que cette méthode permet un examen anonyme, standardisé, large, rapide et continu de l'économicité (EUGSTER, op. cit., p. 90 ss n. 222 ss; VALÉRIE JUNOD, Polypragmasie, analyse d'une procédure controversée, CGSS 40/2008 p. 140 s.) par rapport à une méthode analytique coûteuse, difficile à réaliser à large échelle et mal adaptée lorsqu'il s'agit de déterminer l'ampleur de la polypragmasie et le montant à mettre à charge du médecin ( ATF 99 V 193 consid. 3 p. 197 ss; EUGSTER, op. cit., p. 78 ss n. 185 ss; JUNOD, op. cit., p. 140 s.). On rappellera encore que la méthode statistique comprend une marge de tolérance qui permet de prendre en considération les spécificités d'une pratique médicale et de neutraliser certaines imperfections inhérentes à son application (consid. 5.3, non publié).</w:t>
      </w:r>
    </w:p>
    <w:p>
      <w:r>
        <w:rPr>
          <w:b/>
        </w:rPr>
        <w:t>E. 6.3.1</w:t>
      </w:r>
    </w:p>
    <w:p>
      <w:r>
        <w:t>Dans la mesure où la méthode statistique consiste en une comparaison des coûts moyens, dont le second terme repose sur des données accessibles seulement aux assureurs-maladie et à leur BGE 136 V 415 S. 418 organisation faîtière, le médecin recherché en restitution doit avoir la possibilité de prendre connaissance des données mentionnées pour être à même de justifier les spécificités de sa pratique par rapport à celle des praticiens auxquels il est comparé, faute de quoi son droit d'être entendu - particulièrement son droit de s'exprimer sur les éléments pertinents du dossier avant qu'une décision le touchant ne soit prise (cf. ATF 127 III 576 consid. 2c p. 578 s.; ATF 126 I 7 consid. 2b p. 10; ATF 127 V 431 consid. 3a p. 436; ATF 124 II 132 consid. 2b p. 137 et les références) - serait violé. L'accès aux données des deux termes de la comparaison permet également aux autorités arbitrales et judiciaires amenées à se prononcer d'exercer leur contrôle.</w:t>
      </w:r>
    </w:p>
    <w:p>
      <w:r>
        <w:rPr>
          <w:b/>
        </w:rPr>
        <w:t>E. 6.3.2</w:t>
      </w:r>
    </w:p>
    <w:p>
      <w:r>
        <w:t>En plus des informations dont il a la maîtrise dans la mesure où elles résultent de sa propre pratique, le médecin considéré a accès à ses propres données traitées par santésuisse ainsi qu'à certaines données afférentes aux membres du groupe de comparaison. Ses propres données produites par santésuisse sont les coûts directs (coût de traitements prodigués et de médicaments fournis; nombre de visites à domicile et de consultations; âge moyen et nombre de malades; totaux et indices déduits de ce qui précède et comparés à la valeur analogue du groupe de référence), les coûts indirects (coût des médicaments, analyses et séances de physiothérapie prescrits; totaux et indices déduits de ce qui précède et comparés à la valeur analogue du groupe de référence) et les coûts totaux (directs et indirects également comparés à la valeur analogue du groupe de référence). Les données concernant les membres du groupe de comparaison sont seulement le nombre de médecins pris en considération et l'âge moyen des patients traités par ceux-ci en plus du fait que le coût moyen de l'ensemble de leurs frais correspond à un indice de 100.</w:t>
      </w:r>
    </w:p>
    <w:p>
      <w:r>
        <w:rPr>
          <w:b/>
        </w:rPr>
        <w:t>E. 6.3.3</w:t>
      </w:r>
    </w:p>
    <w:p>
      <w:r>
        <w:t>Si le premier terme de la comparaison est suffisamment transparent, dès lors que le praticien en cause peut évaluer les chiffres produits par santésuisse à la lumière de ses propres chiffres, tel n'est pas entièrement le cas du second terme. Une critique pertinente et un contrôle efficace de la fiabilité des statistiques concrètement présentées nécessitent un accès plus étendu aux données sur lesquelles reposent le second terme de la comparaison. D'une part, seule la connaisance du nom des médecins composant le groupe de référence permet effectivement de vérifier si des praticiens particuliers figurent dans la liste alors qu'il appartiennent à un autre groupe ou si d'autres praticiens ne figurent pas dans la liste alors qu'il devraient s'y trouver. BGE 136 V 415 S. 419 D'autre part, seule la connaissance, sous forme anonymisée, de la répartition des coûts pour chaque médecin du groupe de comparaison, à savoir la connaissance des mêmes données anonymisées que celles produites par santésuisse le concernant pour chacun des médecins du groupe mentionné ("données du pool de données santésuisse"), permet au praticien contrôlé de se situer concrètement par rapport à ses confrères et d'être mieux à même de produire une défense ciblée et pertinente. En l'absence de telles données, le droit d'être entendu du recourant a en l'espèce été violé, ce qui entraîne l'annulation de l'acte attaqué et le renvoi de la cause au tribunal arbitral pour qu'il se procure auprès de santésuisse les données mentionnées et rende un nouveau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